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rPr>
      </w:pPr>
      <w:bookmarkStart w:colFirst="0" w:colLast="0" w:name="_6efr5j1tsabv" w:id="0"/>
      <w:bookmarkEnd w:id="0"/>
      <w:r w:rsidDel="00000000" w:rsidR="00000000" w:rsidRPr="00000000">
        <w:rPr>
          <w:b w:val="1"/>
          <w:rtl w:val="0"/>
        </w:rPr>
        <w:t xml:space="preserve">Masalah yang tergantung pada jantung penelitian ilmiah</w:t>
      </w:r>
    </w:p>
    <w:p w:rsidR="00000000" w:rsidDel="00000000" w:rsidP="00000000" w:rsidRDefault="00000000" w:rsidRPr="00000000" w14:paraId="00000002">
      <w:pPr>
        <w:spacing w:line="240" w:lineRule="auto"/>
        <w:jc w:val="center"/>
        <w:rPr>
          <w:b w:val="1"/>
        </w:rPr>
      </w:pPr>
      <w:r w:rsidDel="00000000" w:rsidR="00000000" w:rsidRPr="00000000">
        <w:rPr>
          <w:rtl w:val="0"/>
        </w:rPr>
      </w:r>
    </w:p>
    <w:p w:rsidR="00000000" w:rsidDel="00000000" w:rsidP="00000000" w:rsidRDefault="00000000" w:rsidRPr="00000000" w14:paraId="00000003">
      <w:pPr>
        <w:spacing w:line="240" w:lineRule="auto"/>
        <w:rPr>
          <w:rFonts w:ascii="Roboto Condensed" w:cs="Roboto Condensed" w:eastAsia="Roboto Condensed" w:hAnsi="Roboto Condensed"/>
          <w:color w:val="666666"/>
          <w:sz w:val="18"/>
          <w:szCs w:val="18"/>
          <w:highlight w:val="white"/>
        </w:rPr>
      </w:pPr>
      <w:r w:rsidDel="00000000" w:rsidR="00000000" w:rsidRPr="00000000">
        <w:rPr>
          <w:rFonts w:ascii="Lora" w:cs="Lora" w:eastAsia="Lora" w:hAnsi="Lora"/>
          <w:b w:val="1"/>
          <w:color w:val="241f21"/>
          <w:sz w:val="24"/>
          <w:szCs w:val="24"/>
          <w:highlight w:val="white"/>
          <w:rtl w:val="0"/>
        </w:rPr>
        <w:t xml:space="preserve">Para peneliti tidak dapat memajukan pekerjaan mereka tanpa akses ke jurnal ilmiah yang sangat mahal. Pemberontakan terhadap penerbit dan biaya mereka telah dimulai.</w:t>
      </w:r>
      <w:r w:rsidDel="00000000" w:rsidR="00000000" w:rsidRPr="00000000">
        <w:rPr>
          <w:rtl w:val="0"/>
        </w:rPr>
      </w:r>
    </w:p>
    <w:p w:rsidR="00000000" w:rsidDel="00000000" w:rsidP="00000000" w:rsidRDefault="00000000" w:rsidRPr="00000000" w14:paraId="00000004">
      <w:pPr>
        <w:spacing w:after="16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tl w:val="0"/>
        </w:rPr>
      </w:r>
    </w:p>
    <w:p w:rsidR="00000000" w:rsidDel="00000000" w:rsidP="00000000" w:rsidRDefault="00000000" w:rsidRPr="00000000" w14:paraId="00000005">
      <w:pPr>
        <w:spacing w:line="240" w:lineRule="auto"/>
        <w:jc w:val="center"/>
        <w:rPr>
          <w:rFonts w:ascii="Roboto Condensed" w:cs="Roboto Condensed" w:eastAsia="Roboto Condensed" w:hAnsi="Roboto Condensed"/>
          <w:color w:val="666666"/>
          <w:sz w:val="24"/>
          <w:szCs w:val="24"/>
          <w:highlight w:val="white"/>
        </w:rPr>
      </w:pPr>
      <w:r w:rsidDel="00000000" w:rsidR="00000000" w:rsidRPr="00000000">
        <w:rPr>
          <w:rFonts w:ascii="Roboto Condensed" w:cs="Roboto Condensed" w:eastAsia="Roboto Condensed" w:hAnsi="Roboto Condensed"/>
          <w:color w:val="666666"/>
          <w:sz w:val="24"/>
          <w:szCs w:val="24"/>
          <w:highlight w:val="white"/>
          <w:rtl w:val="0"/>
        </w:rPr>
        <w:t xml:space="preserve">Published on December 26, 2022</w:t>
      </w:r>
    </w:p>
    <w:p w:rsidR="00000000" w:rsidDel="00000000" w:rsidP="00000000" w:rsidRDefault="00000000" w:rsidRPr="00000000" w14:paraId="00000006">
      <w:pPr>
        <w:spacing w:after="16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tl w:val="0"/>
        </w:rPr>
      </w:r>
    </w:p>
    <w:p w:rsidR="00000000" w:rsidDel="00000000" w:rsidP="00000000" w:rsidRDefault="00000000" w:rsidRPr="00000000" w14:paraId="00000007">
      <w:pPr>
        <w:spacing w:after="16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Authors</w:t>
      </w:r>
    </w:p>
    <w:p w:rsidR="00000000" w:rsidDel="00000000" w:rsidP="00000000" w:rsidRDefault="00000000" w:rsidRPr="00000000" w14:paraId="00000008">
      <w:pPr>
        <w:spacing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Virginia Barbour</w:t>
      </w:r>
    </w:p>
    <w:p w:rsidR="00000000" w:rsidDel="00000000" w:rsidP="00000000" w:rsidRDefault="00000000" w:rsidRPr="00000000" w14:paraId="00000009">
      <w:pPr>
        <w:spacing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Virginia Barbour is director, Open Access Australasia</w:t>
      </w:r>
    </w:p>
    <w:p w:rsidR="00000000" w:rsidDel="00000000" w:rsidP="00000000" w:rsidRDefault="00000000" w:rsidRPr="00000000" w14:paraId="0000000A">
      <w:pPr>
        <w:spacing w:after="16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Editors</w:t>
      </w:r>
    </w:p>
    <w:p w:rsidR="00000000" w:rsidDel="00000000" w:rsidP="00000000" w:rsidRDefault="00000000" w:rsidRPr="00000000" w14:paraId="0000000B">
      <w:pPr>
        <w:spacing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Sara Phillips</w:t>
      </w:r>
    </w:p>
    <w:p w:rsidR="00000000" w:rsidDel="00000000" w:rsidP="00000000" w:rsidRDefault="00000000" w:rsidRPr="00000000" w14:paraId="0000000C">
      <w:pPr>
        <w:spacing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Senior Commissioning Editor, 360info Asia-Pacific</w:t>
      </w:r>
    </w:p>
    <w:p w:rsidR="00000000" w:rsidDel="00000000" w:rsidP="00000000" w:rsidRDefault="00000000" w:rsidRPr="00000000" w14:paraId="0000000D">
      <w:pPr>
        <w:spacing w:after="16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DOI</w:t>
      </w:r>
    </w:p>
    <w:p w:rsidR="00000000" w:rsidDel="00000000" w:rsidP="00000000" w:rsidRDefault="00000000" w:rsidRPr="00000000" w14:paraId="0000000E">
      <w:pPr>
        <w:spacing w:before="160"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10.54377/4171-7c85</w:t>
      </w:r>
      <w:r w:rsidDel="00000000" w:rsidR="00000000" w:rsidRPr="00000000">
        <w:rPr>
          <w:rtl w:val="0"/>
        </w:rPr>
      </w:r>
    </w:p>
    <w:p w:rsidR="00000000" w:rsidDel="00000000" w:rsidP="00000000" w:rsidRDefault="00000000" w:rsidRPr="00000000" w14:paraId="0000000F">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Pandemi COVID-19 mengungkap banyak kelemahan dalam cara masyarakat kita berfungsi. Di antara yang kurang terlihat jelas yaitu masalah yang menganga di jantung penelitian ilmiah.</w:t>
      </w:r>
    </w:p>
    <w:p w:rsidR="00000000" w:rsidDel="00000000" w:rsidP="00000000" w:rsidRDefault="00000000" w:rsidRPr="00000000" w14:paraId="00000010">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Pada bulan Maret 2020, para ilmuwan berusaha keras untuk memahami apa itu virus baru, bagaimana virus ini memengaruhi pasien, dan bagaimana virus ini dapat diobati. Para ilmuwan biasanya mempublikasikan temuan penelitian dalam jurnal ilmiah yang banyak di antaranya mengenakan biaya berlangganan yang tinggi. Ketika </w:t>
      </w:r>
      <w:hyperlink r:id="rId6">
        <w:r w:rsidDel="00000000" w:rsidR="00000000" w:rsidRPr="00000000">
          <w:rPr>
            <w:rFonts w:ascii="Lora" w:cs="Lora" w:eastAsia="Lora" w:hAnsi="Lora"/>
            <w:color w:val="0563c1"/>
            <w:sz w:val="24"/>
            <w:szCs w:val="24"/>
            <w:u w:val="single"/>
            <w:rtl w:val="0"/>
          </w:rPr>
          <w:t xml:space="preserve">rumah sakit di Italia</w:t>
        </w:r>
      </w:hyperlink>
      <w:r w:rsidDel="00000000" w:rsidR="00000000" w:rsidRPr="00000000">
        <w:rPr>
          <w:rFonts w:ascii="Lora" w:cs="Lora" w:eastAsia="Lora" w:hAnsi="Lora"/>
          <w:sz w:val="24"/>
          <w:szCs w:val="24"/>
          <w:rtl w:val="0"/>
        </w:rPr>
        <w:t xml:space="preserve"> kewalahan dan dunia melihat dengan ketakutan, informasi baru yang penting tentang virus ini terkunci di balik dinding pembatas. </w:t>
      </w:r>
    </w:p>
    <w:p w:rsidR="00000000" w:rsidDel="00000000" w:rsidP="00000000" w:rsidRDefault="00000000" w:rsidRPr="00000000" w14:paraId="00000011">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Badan-badan ilmu pengetahuan nasional dari berbagai negara termasuk Inggris, Australia, Italia, Amerika Serikat, dan Brasil </w:t>
      </w:r>
      <w:hyperlink r:id="rId7">
        <w:r w:rsidDel="00000000" w:rsidR="00000000" w:rsidRPr="00000000">
          <w:rPr>
            <w:rFonts w:ascii="Lora" w:cs="Lora" w:eastAsia="Lora" w:hAnsi="Lora"/>
            <w:color w:val="0563c1"/>
            <w:sz w:val="24"/>
            <w:szCs w:val="24"/>
            <w:u w:val="single"/>
            <w:rtl w:val="0"/>
          </w:rPr>
          <w:t xml:space="preserve">menyerukan kepada</w:t>
        </w:r>
      </w:hyperlink>
      <w:r w:rsidDel="00000000" w:rsidR="00000000" w:rsidRPr="00000000">
        <w:rPr>
          <w:rFonts w:ascii="Lora" w:cs="Lora" w:eastAsia="Lora" w:hAnsi="Lora"/>
          <w:sz w:val="24"/>
          <w:szCs w:val="24"/>
          <w:rtl w:val="0"/>
        </w:rPr>
        <w:t xml:space="preserve"> para penerbit agar penelitian virus corona dapat diakses dengan segera dan secara bebas, dan sebagian besar dari mereka melakukannya. Namun, perlunya kelompok-kelompok ini menyerukan agar penelitian tersedia di tengah-tengah keadaan darurat global menunjukkan kegagalan sistem penerbitan saat ini.</w:t>
      </w:r>
    </w:p>
    <w:p w:rsidR="00000000" w:rsidDel="00000000" w:rsidP="00000000" w:rsidRDefault="00000000" w:rsidRPr="00000000" w14:paraId="00000012">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Membuat penelitian segera bebas untuk dibaca, yang jika digabungkan dengan penggunaan lisensi penerbitan terbuka, dikenal sebagai 'akses terbuka' - merupakan topik hangat dalam ilmu pengetahuan. Badan-badan kesehatan dunia mengetahui betapa pentingnya penelitian terbuka, terutama di masa darurat, dan itulah sebabnya mereka berulang kali menyerukan agar penelitian dibuat terbuka. </w:t>
      </w:r>
    </w:p>
    <w:p w:rsidR="00000000" w:rsidDel="00000000" w:rsidP="00000000" w:rsidRDefault="00000000" w:rsidRPr="00000000" w14:paraId="00000013">
      <w:pPr>
        <w:spacing w:after="240" w:before="240" w:line="240" w:lineRule="auto"/>
        <w:rPr>
          <w:rFonts w:ascii="Lora" w:cs="Lora" w:eastAsia="Lora" w:hAnsi="Lora"/>
          <w:sz w:val="24"/>
          <w:szCs w:val="24"/>
        </w:rPr>
      </w:pPr>
      <w:hyperlink r:id="rId8">
        <w:r w:rsidDel="00000000" w:rsidR="00000000" w:rsidRPr="00000000">
          <w:rPr>
            <w:rFonts w:ascii="Lora" w:cs="Lora" w:eastAsia="Lora" w:hAnsi="Lora"/>
            <w:color w:val="0563c1"/>
            <w:sz w:val="24"/>
            <w:szCs w:val="24"/>
            <w:u w:val="single"/>
            <w:rtl w:val="0"/>
          </w:rPr>
          <w:t xml:space="preserve">Permintaan terakhir</w:t>
        </w:r>
      </w:hyperlink>
      <w:r w:rsidDel="00000000" w:rsidR="00000000" w:rsidRPr="00000000">
        <w:rPr>
          <w:rFonts w:ascii="Lora" w:cs="Lora" w:eastAsia="Lora" w:hAnsi="Lora"/>
          <w:sz w:val="24"/>
          <w:szCs w:val="24"/>
          <w:rtl w:val="0"/>
        </w:rPr>
        <w:t xml:space="preserve"> datang pada Agustus 2022 dari Kantor Kebijakan Sains dan Teknologi Gedung Putih AS agar penelitian cacar air dibuka. </w:t>
      </w:r>
      <w:hyperlink r:id="rId9">
        <w:r w:rsidDel="00000000" w:rsidR="00000000" w:rsidRPr="00000000">
          <w:rPr>
            <w:rFonts w:ascii="Lora" w:cs="Lora" w:eastAsia="Lora" w:hAnsi="Lora"/>
            <w:color w:val="0563c1"/>
            <w:sz w:val="24"/>
            <w:szCs w:val="24"/>
            <w:u w:val="single"/>
            <w:rtl w:val="0"/>
          </w:rPr>
          <w:t xml:space="preserve">Seruan global sebelumnya</w:t>
        </w:r>
      </w:hyperlink>
      <w:r w:rsidDel="00000000" w:rsidR="00000000" w:rsidRPr="00000000">
        <w:rPr>
          <w:rFonts w:ascii="Lora" w:cs="Lora" w:eastAsia="Lora" w:hAnsi="Lora"/>
          <w:sz w:val="24"/>
          <w:szCs w:val="24"/>
          <w:rtl w:val="0"/>
        </w:rPr>
        <w:t xml:space="preserve"> terjadi pada tahun 2016 untuk Zika dan pada tahun 2018 untuk Ebola. </w:t>
      </w:r>
    </w:p>
    <w:p w:rsidR="00000000" w:rsidDel="00000000" w:rsidP="00000000" w:rsidRDefault="00000000" w:rsidRPr="00000000" w14:paraId="0000001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Konsekuensi dari kurangnya akses ke penelitian bisa sangat mengerikan. Pada tahun 2015, sekelompok peneliti Afrika mengklaim bahwa wabah Ebola yang terjadi </w:t>
      </w:r>
      <w:hyperlink r:id="rId10">
        <w:r w:rsidDel="00000000" w:rsidR="00000000" w:rsidRPr="00000000">
          <w:rPr>
            <w:rFonts w:ascii="Lora" w:cs="Lora" w:eastAsia="Lora" w:hAnsi="Lora"/>
            <w:color w:val="0563c1"/>
            <w:sz w:val="24"/>
            <w:szCs w:val="24"/>
            <w:u w:val="single"/>
            <w:rtl w:val="0"/>
          </w:rPr>
          <w:t xml:space="preserve">sebelumnya dapat dicegah</w:t>
        </w:r>
      </w:hyperlink>
      <w:r w:rsidDel="00000000" w:rsidR="00000000" w:rsidRPr="00000000">
        <w:rPr>
          <w:rFonts w:ascii="Lora" w:cs="Lora" w:eastAsia="Lora" w:hAnsi="Lora"/>
          <w:sz w:val="24"/>
          <w:szCs w:val="24"/>
          <w:rtl w:val="0"/>
        </w:rPr>
        <w:t xml:space="preserve"> jika penelitian tentang Ebola dipublikasikan secara terbuka.</w:t>
      </w:r>
    </w:p>
    <w:p w:rsidR="00000000" w:rsidDel="00000000" w:rsidP="00000000" w:rsidRDefault="00000000" w:rsidRPr="00000000" w14:paraId="00000015">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Dalam 12 bulan terakhir, terjadi banyak perubahan dalam akses terbuka secara global dan mulai Januari 2023, jurnal ternama Science </w:t>
      </w:r>
      <w:hyperlink r:id="rId11">
        <w:r w:rsidDel="00000000" w:rsidR="00000000" w:rsidRPr="00000000">
          <w:rPr>
            <w:rFonts w:ascii="Lora" w:cs="Lora" w:eastAsia="Lora" w:hAnsi="Lora"/>
            <w:color w:val="0563c1"/>
            <w:sz w:val="24"/>
            <w:szCs w:val="24"/>
            <w:u w:val="single"/>
            <w:rtl w:val="0"/>
          </w:rPr>
          <w:t xml:space="preserve">akan mengizinkan</w:t>
        </w:r>
      </w:hyperlink>
      <w:r w:rsidDel="00000000" w:rsidR="00000000" w:rsidRPr="00000000">
        <w:rPr>
          <w:rFonts w:ascii="Lora" w:cs="Lora" w:eastAsia="Lora" w:hAnsi="Lora"/>
          <w:sz w:val="24"/>
          <w:szCs w:val="24"/>
          <w:rtl w:val="0"/>
        </w:rPr>
        <w:t xml:space="preserve"> penelitian yang dipublikasikan untuk segera ditempatkan di repositori yang dapat diakses oleh publik tanpa biaya.</w:t>
      </w:r>
    </w:p>
    <w:p w:rsidR="00000000" w:rsidDel="00000000" w:rsidP="00000000" w:rsidRDefault="00000000" w:rsidRPr="00000000" w14:paraId="0000001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Pada bulan Agustus 2022, Kantor Kebijakan Sains dan Teknologi mengeluarkan </w:t>
      </w:r>
      <w:hyperlink r:id="rId12">
        <w:r w:rsidDel="00000000" w:rsidR="00000000" w:rsidRPr="00000000">
          <w:rPr>
            <w:rFonts w:ascii="Lora" w:cs="Lora" w:eastAsia="Lora" w:hAnsi="Lora"/>
            <w:color w:val="0563c1"/>
            <w:sz w:val="24"/>
            <w:szCs w:val="24"/>
            <w:u w:val="single"/>
            <w:rtl w:val="0"/>
          </w:rPr>
          <w:t xml:space="preserve">memorandum</w:t>
        </w:r>
      </w:hyperlink>
      <w:r w:rsidDel="00000000" w:rsidR="00000000" w:rsidRPr="00000000">
        <w:rPr>
          <w:rFonts w:ascii="Lora" w:cs="Lora" w:eastAsia="Lora" w:hAnsi="Lora"/>
          <w:sz w:val="24"/>
          <w:szCs w:val="24"/>
          <w:rtl w:val="0"/>
        </w:rPr>
        <w:t xml:space="preserve"> kepada semua lembaga pendanaan penelitian AS bahwa pada 1 Januari 2026 mereka harus membuat semua penelitian yang mereka danai segera tersedia untuk umum, bersama dengan data di balik penelitian tersebut. Meskipun bahasa memorandum tersebut dikritik karena tidak menjelaskan bagaimana penelitian harus dibuka, memorandum ini dengan jelas mengartikulasikan mengapa dan kapan.</w:t>
      </w:r>
    </w:p>
    <w:p w:rsidR="00000000" w:rsidDel="00000000" w:rsidP="00000000" w:rsidRDefault="00000000" w:rsidRPr="00000000" w14:paraId="00000017">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Dan jangan salah: memorandum ini memiliki kekuatan, karena berasal dari Gedung Putih. Bagaimana setiap lembaga federal menginterpretasikan memorandum ini akan diawasi tidak hanya di AS tapi juga di tempat lain, terutama karena akan memberikan contoh-contoh pendekatan yang berbeda untuk membuka akses.</w:t>
      </w:r>
    </w:p>
    <w:p w:rsidR="00000000" w:rsidDel="00000000" w:rsidP="00000000" w:rsidRDefault="00000000" w:rsidRPr="00000000" w14:paraId="00000018">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Dalam </w:t>
      </w:r>
      <w:hyperlink r:id="rId13">
        <w:r w:rsidDel="00000000" w:rsidR="00000000" w:rsidRPr="00000000">
          <w:rPr>
            <w:rFonts w:ascii="Lora" w:cs="Lora" w:eastAsia="Lora" w:hAnsi="Lora"/>
            <w:color w:val="0563c1"/>
            <w:sz w:val="24"/>
            <w:szCs w:val="24"/>
            <w:u w:val="single"/>
            <w:rtl w:val="0"/>
          </w:rPr>
          <w:t xml:space="preserve">siaran pers</w:t>
        </w:r>
      </w:hyperlink>
      <w:r w:rsidDel="00000000" w:rsidR="00000000" w:rsidRPr="00000000">
        <w:rPr>
          <w:rFonts w:ascii="Lora" w:cs="Lora" w:eastAsia="Lora" w:hAnsi="Lora"/>
          <w:sz w:val="24"/>
          <w:szCs w:val="24"/>
          <w:rtl w:val="0"/>
        </w:rPr>
        <w:t xml:space="preserve"> yang menyertainya, Gedung Putih menjelaskan mengapa akses terbuka itu penting: “Kebijakan ini kemungkinan besar akan memberikan manfaat yang signifikan terhadap sejumlah prioritas utama bagi rakyat Amerika, mulai dari keadilan lingkungan hingga terobosan dalam bidang kanker, dan dari teknologi energi bersih yang mengubah dunia hingga melindungi kebebasan sipil di dunia yang serba otomatis.”</w:t>
      </w:r>
    </w:p>
    <w:p w:rsidR="00000000" w:rsidDel="00000000" w:rsidP="00000000" w:rsidRDefault="00000000" w:rsidRPr="00000000" w14:paraId="00000019">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Manfaat dari penelitian terbuka lebih dari sekadar meningkatkan jumlah pembaca dan penggunaan penelitian di kalangan akademisi. Akses terbuka hanyalah salah satu bagian dari gerakan global ilmu pengetahuan terbuka yang pada tahun 2021 mendorong UNESCO, organisasi pendidikan, ilmu pengetahuan, dan kebudayaan PBB, untuk mengeluarkan </w:t>
      </w:r>
      <w:hyperlink r:id="rId14">
        <w:r w:rsidDel="00000000" w:rsidR="00000000" w:rsidRPr="00000000">
          <w:rPr>
            <w:rFonts w:ascii="Lora" w:cs="Lora" w:eastAsia="Lora" w:hAnsi="Lora"/>
            <w:color w:val="0563c1"/>
            <w:sz w:val="24"/>
            <w:szCs w:val="24"/>
            <w:u w:val="single"/>
            <w:rtl w:val="0"/>
          </w:rPr>
          <w:t xml:space="preserve">'Rekomendasi Ilmu Pengetahuan Terbuka'</w:t>
        </w:r>
      </w:hyperlink>
      <w:r w:rsidDel="00000000" w:rsidR="00000000" w:rsidRPr="00000000">
        <w:rPr>
          <w:rFonts w:ascii="Lora" w:cs="Lora" w:eastAsia="Lora" w:hAnsi="Lora"/>
          <w:sz w:val="24"/>
          <w:szCs w:val="24"/>
          <w:rtl w:val="0"/>
        </w:rPr>
        <w:t xml:space="preserve">. Ini merupakan inisiatif terkemuka di dunia yang menetapkan standar internasional untuk sains terbuka yang dibangun di atas nilai-nilai seperti kesetaraan, keragaman, manfaat kolektif, kualitas, dan integritas.</w:t>
      </w:r>
    </w:p>
    <w:p w:rsidR="00000000" w:rsidDel="00000000" w:rsidP="00000000" w:rsidRDefault="00000000" w:rsidRPr="00000000" w14:paraId="0000001A">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Rekomendasi ini menjelaskan mengapa sains terbuka itu penting, termasuk meningkatkan laba atas investasi, meningkatkan efektivitas dan produktivitas sistem ilmiah, melawan misinformasi dan disinformasi, dan mengatasi ketidaksetaraan sistemik yang ada untuk menghasilkan dan mengakses penelitian. Yang terpenting, rekomendasi ini bukan hanya sebuah teks yang ditulis dan dilupakan, melainkan disertai dengan program aksi implementasi dan akan mencakup proses pemantauan untuk meminta pertanggungjawaban para penandatangan. </w:t>
      </w:r>
    </w:p>
    <w:p w:rsidR="00000000" w:rsidDel="00000000" w:rsidP="00000000" w:rsidRDefault="00000000" w:rsidRPr="00000000" w14:paraId="0000001B">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Rekomendasi UNESCO, seperti halnya memorandum Kantor Kebijakan Ilmu Pengetahuan dan Teknologi, tidak menetapkan jalur tertentu untuk membuka akses dan oleh karena itu kita akan melihat keragaman jalur untuk membuka akses. </w:t>
      </w:r>
    </w:p>
    <w:p w:rsidR="00000000" w:rsidDel="00000000" w:rsidP="00000000" w:rsidRDefault="00000000" w:rsidRPr="00000000" w14:paraId="0000001C">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Proliferasi tersebut memiliki keuntungan. Asalkan beberapa prinsip inti dipatuhi (seperti penggunaan lisensi terbuka), membiarkan eksperimen berkembang akan memungkinkan setiap negara, atau bahkan setiap penyandang dana, penerbit, atau institusi individu, untuk menentukan inisiatif terbuka yang sesuai dengan nilai-nilai mereka. </w:t>
      </w:r>
    </w:p>
    <w:p w:rsidR="00000000" w:rsidDel="00000000" w:rsidP="00000000" w:rsidRDefault="00000000" w:rsidRPr="00000000" w14:paraId="0000001D">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Mengizinkan keragaman pendekatan juga mengakui kenyataan bahwa akses terbuka dan ilmu pengetahuan terbuka bukanlah konsep yang statis dan bahwa mereka akan berkembang seiring dengan perubahan budaya dan teknologi. Keragaman pendekatan juga menjaga agar tidak </w:t>
      </w:r>
      <w:hyperlink r:id="rId15">
        <w:r w:rsidDel="00000000" w:rsidR="00000000" w:rsidRPr="00000000">
          <w:rPr>
            <w:rFonts w:ascii="Lora" w:cs="Lora" w:eastAsia="Lora" w:hAnsi="Lora"/>
            <w:color w:val="0563c1"/>
            <w:sz w:val="24"/>
            <w:szCs w:val="24"/>
            <w:u w:val="single"/>
            <w:rtl w:val="0"/>
          </w:rPr>
          <w:t xml:space="preserve">ada sejumlah kecil</w:t>
        </w:r>
      </w:hyperlink>
      <w:r w:rsidDel="00000000" w:rsidR="00000000" w:rsidRPr="00000000">
        <w:rPr>
          <w:rFonts w:ascii="Lora" w:cs="Lora" w:eastAsia="Lora" w:hAnsi="Lora"/>
          <w:sz w:val="24"/>
          <w:szCs w:val="24"/>
          <w:rtl w:val="0"/>
        </w:rPr>
        <w:t xml:space="preserve"> penerbit komersial yang mendominasi. </w:t>
      </w:r>
    </w:p>
    <w:p w:rsidR="00000000" w:rsidDel="00000000" w:rsidP="00000000" w:rsidRDefault="00000000" w:rsidRPr="00000000" w14:paraId="0000001E">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Beberapa contoh inisiatif sains terbuka yang diumumkan baru-baru ini menggambarkan keragaman ini: Dewan Riset Kesehatan dan Medis Nasional Australia sekarang akan mewajibkan </w:t>
      </w:r>
      <w:hyperlink r:id="rId16">
        <w:r w:rsidDel="00000000" w:rsidR="00000000" w:rsidRPr="00000000">
          <w:rPr>
            <w:rFonts w:ascii="Lora" w:cs="Lora" w:eastAsia="Lora" w:hAnsi="Lora"/>
            <w:color w:val="0563c1"/>
            <w:sz w:val="24"/>
            <w:szCs w:val="24"/>
            <w:u w:val="single"/>
            <w:rtl w:val="0"/>
          </w:rPr>
          <w:t xml:space="preserve">akses terbuka segera</w:t>
        </w:r>
      </w:hyperlink>
      <w:r w:rsidDel="00000000" w:rsidR="00000000" w:rsidRPr="00000000">
        <w:rPr>
          <w:rFonts w:ascii="Lora" w:cs="Lora" w:eastAsia="Lora" w:hAnsi="Lora"/>
          <w:sz w:val="24"/>
          <w:szCs w:val="24"/>
          <w:rtl w:val="0"/>
        </w:rPr>
        <w:t xml:space="preserve"> yang diterbitkan di bawah </w:t>
      </w:r>
      <w:hyperlink r:id="rId17">
        <w:r w:rsidDel="00000000" w:rsidR="00000000" w:rsidRPr="00000000">
          <w:rPr>
            <w:rFonts w:ascii="Lora" w:cs="Lora" w:eastAsia="Lora" w:hAnsi="Lora"/>
            <w:color w:val="0563c1"/>
            <w:sz w:val="24"/>
            <w:szCs w:val="24"/>
            <w:u w:val="single"/>
            <w:rtl w:val="0"/>
          </w:rPr>
          <w:t xml:space="preserve">lisensi Creative Commons CC-BY</w:t>
        </w:r>
      </w:hyperlink>
      <w:r w:rsidDel="00000000" w:rsidR="00000000" w:rsidRPr="00000000">
        <w:rPr>
          <w:rFonts w:ascii="Lora" w:cs="Lora" w:eastAsia="Lora" w:hAnsi="Lora"/>
          <w:sz w:val="24"/>
          <w:szCs w:val="24"/>
          <w:rtl w:val="0"/>
        </w:rPr>
        <w:t xml:space="preserve">; Kementerian Bisnis, Inovasi, dan Ketenagakerjaan Selandia Baru akan mewajibkan </w:t>
      </w:r>
      <w:hyperlink r:id="rId18">
        <w:r w:rsidDel="00000000" w:rsidR="00000000" w:rsidRPr="00000000">
          <w:rPr>
            <w:rFonts w:ascii="Lora" w:cs="Lora" w:eastAsia="Lora" w:hAnsi="Lora"/>
            <w:color w:val="0563c1"/>
            <w:sz w:val="24"/>
            <w:szCs w:val="24"/>
            <w:u w:val="single"/>
            <w:rtl w:val="0"/>
          </w:rPr>
          <w:t xml:space="preserve">akses terbuka dalam waktu enam bulan setelah</w:t>
        </w:r>
      </w:hyperlink>
      <w:r w:rsidDel="00000000" w:rsidR="00000000" w:rsidRPr="00000000">
        <w:rPr>
          <w:rFonts w:ascii="Lora" w:cs="Lora" w:eastAsia="Lora" w:hAnsi="Lora"/>
          <w:sz w:val="24"/>
          <w:szCs w:val="24"/>
          <w:rtl w:val="0"/>
        </w:rPr>
        <w:t xml:space="preserve"> penerbitan. </w:t>
      </w:r>
    </w:p>
    <w:p w:rsidR="00000000" w:rsidDel="00000000" w:rsidP="00000000" w:rsidRDefault="00000000" w:rsidRPr="00000000" w14:paraId="0000001F">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Banyak penerbit sekarang menegosiasikan </w:t>
      </w:r>
      <w:hyperlink r:id="rId19">
        <w:r w:rsidDel="00000000" w:rsidR="00000000" w:rsidRPr="00000000">
          <w:rPr>
            <w:rFonts w:ascii="Lora" w:cs="Lora" w:eastAsia="Lora" w:hAnsi="Lora"/>
            <w:color w:val="0563c1"/>
            <w:sz w:val="24"/>
            <w:szCs w:val="24"/>
            <w:u w:val="single"/>
            <w:rtl w:val="0"/>
          </w:rPr>
          <w:t xml:space="preserve">kesepakatan di seluruh negara</w:t>
        </w:r>
      </w:hyperlink>
      <w:r w:rsidDel="00000000" w:rsidR="00000000" w:rsidRPr="00000000">
        <w:rPr>
          <w:rFonts w:ascii="Lora" w:cs="Lora" w:eastAsia="Lora" w:hAnsi="Lora"/>
          <w:sz w:val="24"/>
          <w:szCs w:val="24"/>
          <w:rtl w:val="0"/>
        </w:rPr>
        <w:t xml:space="preserve"> yang menggabungkan penerbitan bacaan dan penerbitan akses terbuka. Konfederasi Repositori Akses Terbuka telah membuat kasus untuk </w:t>
      </w:r>
      <w:hyperlink r:id="rId20">
        <w:r w:rsidDel="00000000" w:rsidR="00000000" w:rsidRPr="00000000">
          <w:rPr>
            <w:rFonts w:ascii="Lora" w:cs="Lora" w:eastAsia="Lora" w:hAnsi="Lora"/>
            <w:color w:val="0563c1"/>
            <w:sz w:val="24"/>
            <w:szCs w:val="24"/>
            <w:u w:val="single"/>
            <w:rtl w:val="0"/>
          </w:rPr>
          <w:t xml:space="preserve">lebih banyak keragaman</w:t>
        </w:r>
      </w:hyperlink>
      <w:r w:rsidDel="00000000" w:rsidR="00000000" w:rsidRPr="00000000">
        <w:rPr>
          <w:rFonts w:ascii="Lora" w:cs="Lora" w:eastAsia="Lora" w:hAnsi="Lora"/>
          <w:sz w:val="24"/>
          <w:szCs w:val="24"/>
          <w:rtl w:val="0"/>
        </w:rPr>
        <w:t xml:space="preserve"> dalam penerbitan, termasuk melalui repositori universitas.</w:t>
      </w:r>
    </w:p>
    <w:p w:rsidR="00000000" w:rsidDel="00000000" w:rsidP="00000000" w:rsidRDefault="00000000" w:rsidRPr="00000000" w14:paraId="00000020">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Menjelang tahun 2023, tampaknya manfaat akses terbuka telah terbukti tanpa keraguan. Keadaan darurat berikutnya di depan kita, perubahan iklim, jauh lebih kompleks, dan ada juga </w:t>
      </w:r>
      <w:hyperlink r:id="rId21">
        <w:r w:rsidDel="00000000" w:rsidR="00000000" w:rsidRPr="00000000">
          <w:rPr>
            <w:rFonts w:ascii="Lora" w:cs="Lora" w:eastAsia="Lora" w:hAnsi="Lora"/>
            <w:color w:val="0563c1"/>
            <w:sz w:val="24"/>
            <w:szCs w:val="24"/>
            <w:u w:val="single"/>
            <w:rtl w:val="0"/>
          </w:rPr>
          <w:t xml:space="preserve">seruan untuk akses terbuka</w:t>
        </w:r>
      </w:hyperlink>
      <w:r w:rsidDel="00000000" w:rsidR="00000000" w:rsidRPr="00000000">
        <w:rPr>
          <w:rFonts w:ascii="Lora" w:cs="Lora" w:eastAsia="Lora" w:hAnsi="Lora"/>
          <w:sz w:val="24"/>
          <w:szCs w:val="24"/>
          <w:rtl w:val="0"/>
        </w:rPr>
        <w:t xml:space="preserve">. Investasi yang serius dalam berbagai pendekatan sangat penting untuk memastikan masa depan akses terbuka yang beragam dan adil.</w:t>
      </w:r>
    </w:p>
    <w:p w:rsidR="00000000" w:rsidDel="00000000" w:rsidP="00000000" w:rsidRDefault="00000000" w:rsidRPr="00000000" w14:paraId="00000021">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Virginia Barbour adalah direktur Open Access Australasia, sebuah organisasi advokasi akses terbuka dan dari tahun 2020-2022 akan memimpin Kantor Komunikasi Ilmiah di Universitas Teknologi Queensland. Beliau adalah salah satu dari tiga editor pendiri jurnal akses terbuka PLOS Medicine. Beliau telah terlibat dalam banyak akses terbuka internasional, komunikasi ilmiah yang inovatif, serta inisiatif publikasi dan integritas penelitian. Dia adalah anggota Dewan Eksekutif Konfederasi Repositori Akses Terbuka (tidak dibayar) dan Komite Pengarah Kualitas Penelitian NHMRC (biaya duduk berbayar).</w:t>
      </w:r>
    </w:p>
    <w:p w:rsidR="00000000" w:rsidDel="00000000" w:rsidP="00000000" w:rsidRDefault="00000000" w:rsidRPr="00000000" w14:paraId="00000022">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Awalnya diterbitkan di bawah </w:t>
      </w:r>
      <w:hyperlink r:id="rId22">
        <w:r w:rsidDel="00000000" w:rsidR="00000000" w:rsidRPr="00000000">
          <w:rPr>
            <w:rFonts w:ascii="Lora" w:cs="Lora" w:eastAsia="Lora" w:hAnsi="Lora"/>
            <w:color w:val="1155cc"/>
            <w:sz w:val="24"/>
            <w:szCs w:val="24"/>
            <w:u w:val="single"/>
            <w:rtl w:val="0"/>
          </w:rPr>
          <w:t xml:space="preserve">Creative Commons</w:t>
        </w:r>
      </w:hyperlink>
      <w:r w:rsidDel="00000000" w:rsidR="00000000" w:rsidRPr="00000000">
        <w:rPr>
          <w:rFonts w:ascii="Lora" w:cs="Lora" w:eastAsia="Lora" w:hAnsi="Lora"/>
          <w:sz w:val="24"/>
          <w:szCs w:val="24"/>
          <w:rtl w:val="0"/>
        </w:rPr>
        <w:t xml:space="preserve"> oleh </w:t>
      </w:r>
      <w:hyperlink r:id="rId23">
        <w:r w:rsidDel="00000000" w:rsidR="00000000" w:rsidRPr="00000000">
          <w:rPr>
            <w:rFonts w:ascii="Lora" w:cs="Lora" w:eastAsia="Lora" w:hAnsi="Lora"/>
            <w:color w:val="1155cc"/>
            <w:sz w:val="24"/>
            <w:szCs w:val="24"/>
            <w:u w:val="single"/>
            <w:rtl w:val="0"/>
          </w:rPr>
          <w:t xml:space="preserve">360info</w:t>
        </w:r>
      </w:hyperlink>
      <w:r w:rsidDel="00000000" w:rsidR="00000000" w:rsidRPr="00000000">
        <w:rPr>
          <w:rFonts w:ascii="Nova Mono" w:cs="Nova Mono" w:eastAsia="Nova Mono" w:hAnsi="Nova Mono"/>
          <w:sz w:val="24"/>
          <w:szCs w:val="24"/>
          <w:rtl w:val="0"/>
        </w:rPr>
        <w:t xml:space="preserve">™.</w:t>
      </w:r>
      <w:r w:rsidDel="00000000" w:rsidR="00000000" w:rsidRPr="00000000">
        <w:rPr>
          <w:rtl w:val="0"/>
        </w:rPr>
      </w:r>
    </w:p>
    <w:p w:rsidR="00000000" w:rsidDel="00000000" w:rsidP="00000000" w:rsidRDefault="00000000" w:rsidRPr="00000000" w14:paraId="00000023">
      <w:pPr>
        <w:rPr/>
      </w:pPr>
      <w:r w:rsidDel="00000000" w:rsidR="00000000" w:rsidRPr="00000000">
        <w:rPr>
          <w:rFonts w:ascii="Lora" w:cs="Lora" w:eastAsia="Lora" w:hAnsi="Lora"/>
          <w:sz w:val="24"/>
          <w:szCs w:val="24"/>
          <w:rtl w:val="0"/>
        </w:rPr>
        <w:t xml:space="preserve">Artikel ini sudah terbit dalam </w:t>
      </w:r>
      <w:hyperlink r:id="rId24">
        <w:r w:rsidDel="00000000" w:rsidR="00000000" w:rsidRPr="00000000">
          <w:rPr>
            <w:rFonts w:ascii="Lora" w:cs="Lora" w:eastAsia="Lora" w:hAnsi="Lora"/>
            <w:color w:val="0563c1"/>
            <w:sz w:val="24"/>
            <w:szCs w:val="24"/>
            <w:u w:val="single"/>
            <w:rtl w:val="0"/>
          </w:rPr>
          <w:t xml:space="preserve">Bahasa Inggris</w:t>
        </w:r>
      </w:hyperlink>
      <w:r w:rsidDel="00000000" w:rsidR="00000000" w:rsidRPr="00000000">
        <w:rPr>
          <w:rFonts w:ascii="Lora" w:cs="Lora" w:eastAsia="Lora" w:hAnsi="Lora"/>
          <w:sz w:val="24"/>
          <w:szCs w:val="24"/>
          <w:rtl w:val="0"/>
        </w:rPr>
        <w:t xml:space="preserve"> pada tanggal 26 Desember 2022 di </w:t>
      </w:r>
      <w:hyperlink r:id="rId25">
        <w:r w:rsidDel="00000000" w:rsidR="00000000" w:rsidRPr="00000000">
          <w:rPr>
            <w:rFonts w:ascii="Lora" w:cs="Lora" w:eastAsia="Lora" w:hAnsi="Lora"/>
            <w:color w:val="0563c1"/>
            <w:sz w:val="24"/>
            <w:szCs w:val="24"/>
            <w:u w:val="single"/>
            <w:rtl w:val="0"/>
          </w:rPr>
          <w:t xml:space="preserve">360info.org</w:t>
        </w:r>
      </w:hyperlink>
      <w:r w:rsidDel="00000000" w:rsidR="00000000" w:rsidRPr="00000000">
        <w:rPr>
          <w:rFonts w:ascii="Lora" w:cs="Lora" w:eastAsia="Lora" w:hAnsi="Lora"/>
          <w:sz w:val="24"/>
          <w:szCs w:val="24"/>
          <w:rtl w:val="0"/>
        </w:rPr>
        <w:t xml:space="preserve">.</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coar-repositories.org/news-updates/fostering-bibliodiversity-in-scholarly-communications-a-call-for-action/" TargetMode="External"/><Relationship Id="rId22" Type="http://schemas.openxmlformats.org/officeDocument/2006/relationships/hyperlink" Target="https://creativecommons.org/licenses/by/4.0/" TargetMode="External"/><Relationship Id="rId21" Type="http://schemas.openxmlformats.org/officeDocument/2006/relationships/hyperlink" Target="https://openclimatecampaign.org/" TargetMode="External"/><Relationship Id="rId24" Type="http://schemas.openxmlformats.org/officeDocument/2006/relationships/hyperlink" Target="https://360info.org/the-gaping-problem-at-the-heart-of-scientific-research/" TargetMode="External"/><Relationship Id="rId23" Type="http://schemas.openxmlformats.org/officeDocument/2006/relationships/hyperlink" Target="https://360info.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alition-s.org/blog/monkeypox-and-open-access-time-to-change-the-narrative/" TargetMode="External"/><Relationship Id="rId25" Type="http://schemas.openxmlformats.org/officeDocument/2006/relationships/hyperlink" Target="https://360info.org/" TargetMode="External"/><Relationship Id="rId5" Type="http://schemas.openxmlformats.org/officeDocument/2006/relationships/styles" Target="styles.xml"/><Relationship Id="rId6" Type="http://schemas.openxmlformats.org/officeDocument/2006/relationships/hyperlink" Target="https://www.theguardian.com/world/2020/mar/09/coronavirus-italy-prime-minister-country-lockdown" TargetMode="External"/><Relationship Id="rId7" Type="http://schemas.openxmlformats.org/officeDocument/2006/relationships/hyperlink" Target="https://wellcome.org/sites/default/files/covid19-open-access-letter.pdf" TargetMode="External"/><Relationship Id="rId8" Type="http://schemas.openxmlformats.org/officeDocument/2006/relationships/hyperlink" Target="https://www.whitehouse.gov/ostp/news-updates/2022/08/15/the-scholarly-publishing-community-and-research-organizations-respond-to-the-monkeypox-public-health-emergency/" TargetMode="External"/><Relationship Id="rId11" Type="http://schemas.openxmlformats.org/officeDocument/2006/relationships/hyperlink" Target="https://www.science.org/doi/10.1126/science.ade8028" TargetMode="External"/><Relationship Id="rId10" Type="http://schemas.openxmlformats.org/officeDocument/2006/relationships/hyperlink" Target="https://www.nytimes.com/2015/04/08/opinion/yes-we-were-warned-about-ebola.html" TargetMode="External"/><Relationship Id="rId13" Type="http://schemas.openxmlformats.org/officeDocument/2006/relationships/hyperlink" Target="https://www.whitehouse.gov/ostp/news-updates/2022/08/25/ostp-issues-guidance-to-make-federally-funded-research-freely-available-without-delay/" TargetMode="External"/><Relationship Id="rId12" Type="http://schemas.openxmlformats.org/officeDocument/2006/relationships/hyperlink" Target="https://www.whitehouse.gov/wp-content/uploads/2022/08/08-2022-OSTP-Public-Access-Memo.pdf" TargetMode="External"/><Relationship Id="rId15" Type="http://schemas.openxmlformats.org/officeDocument/2006/relationships/hyperlink" Target="https://journals.plos.org/plosone/article?id=10.1371/journal.pone.0127502" TargetMode="External"/><Relationship Id="rId14" Type="http://schemas.openxmlformats.org/officeDocument/2006/relationships/hyperlink" Target="https://www.unesco.org/en/natural-sciences/open-science" TargetMode="External"/><Relationship Id="rId17" Type="http://schemas.openxmlformats.org/officeDocument/2006/relationships/hyperlink" Target="https://creativecommons.org/about/cclicenses/" TargetMode="External"/><Relationship Id="rId16" Type="http://schemas.openxmlformats.org/officeDocument/2006/relationships/hyperlink" Target="https://www.nhmrc.gov.au/about-us/resources/nhmrc-open-access-policy" TargetMode="External"/><Relationship Id="rId19" Type="http://schemas.openxmlformats.org/officeDocument/2006/relationships/hyperlink" Target="https://esac-initiative.org/about/transformative-agreements/agreement-registry/" TargetMode="External"/><Relationship Id="rId18" Type="http://schemas.openxmlformats.org/officeDocument/2006/relationships/hyperlink" Target="https://www.mbie.govt.nz/about/news/open-access-to-research-policy-introduc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9" Type="http://schemas.openxmlformats.org/officeDocument/2006/relationships/font" Target="fonts/NovaMono-regular.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